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FBA9" w14:textId="77777777" w:rsidR="0078623F" w:rsidRDefault="0078623F">
      <w:pPr>
        <w:rPr>
          <w:rFonts w:ascii="Arial Black" w:hAnsi="Arial Black"/>
          <w:color w:val="276310"/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 wp14:anchorId="47B0E922" wp14:editId="68ECAAD2">
            <wp:extent cx="2480469" cy="635000"/>
            <wp:effectExtent l="0" t="0" r="8890" b="0"/>
            <wp:docPr id="1" name="Picture 1" descr="ull CSU Logo - Split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l CSU Logo - Split -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69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8623F">
        <w:rPr>
          <w:rFonts w:ascii="Arial Black" w:hAnsi="Arial Black"/>
          <w:color w:val="276310"/>
          <w:sz w:val="32"/>
          <w:szCs w:val="32"/>
        </w:rPr>
        <w:t>Department of Health &amp; Human Performance</w:t>
      </w:r>
    </w:p>
    <w:p w14:paraId="3C727D6D" w14:textId="77777777" w:rsidR="00C66ED7" w:rsidRDefault="00C66ED7" w:rsidP="0078623F">
      <w:pPr>
        <w:jc w:val="center"/>
        <w:rPr>
          <w:b/>
          <w:u w:val="single"/>
        </w:rPr>
      </w:pPr>
    </w:p>
    <w:p w14:paraId="0F42A255" w14:textId="1DCD2BE7" w:rsidR="0078623F" w:rsidRDefault="00185D2F" w:rsidP="0078623F">
      <w:pPr>
        <w:jc w:val="center"/>
        <w:rPr>
          <w:b/>
          <w:u w:val="single"/>
        </w:rPr>
      </w:pPr>
      <w:r>
        <w:rPr>
          <w:b/>
          <w:u w:val="single"/>
        </w:rPr>
        <w:t>Sport Management</w:t>
      </w:r>
      <w:r w:rsidR="0078623F" w:rsidRPr="0078623F">
        <w:rPr>
          <w:b/>
          <w:u w:val="single"/>
        </w:rPr>
        <w:t xml:space="preserve"> </w:t>
      </w:r>
      <w:r w:rsidR="007E381B">
        <w:rPr>
          <w:b/>
          <w:u w:val="single"/>
        </w:rPr>
        <w:t>Undergraduate</w:t>
      </w:r>
      <w:bookmarkStart w:id="0" w:name="_GoBack"/>
      <w:bookmarkEnd w:id="0"/>
      <w:r w:rsidR="0078623F" w:rsidRPr="0078623F">
        <w:rPr>
          <w:b/>
          <w:u w:val="single"/>
        </w:rPr>
        <w:t xml:space="preserve"> Standards/Projects/Approval Form</w:t>
      </w:r>
    </w:p>
    <w:p w14:paraId="0A5A414B" w14:textId="77777777" w:rsidR="00185D2F" w:rsidRPr="00C66ED7" w:rsidRDefault="00185D2F" w:rsidP="0078623F">
      <w:pPr>
        <w:rPr>
          <w:sz w:val="22"/>
          <w:szCs w:val="22"/>
        </w:rPr>
      </w:pPr>
    </w:p>
    <w:p w14:paraId="43878661" w14:textId="77777777" w:rsidR="00C66ED7" w:rsidRPr="00C66ED7" w:rsidRDefault="0078623F" w:rsidP="00C66ED7">
      <w:pPr>
        <w:jc w:val="both"/>
        <w:rPr>
          <w:sz w:val="22"/>
          <w:szCs w:val="22"/>
        </w:rPr>
      </w:pPr>
      <w:r w:rsidRPr="00C66ED7">
        <w:rPr>
          <w:sz w:val="22"/>
          <w:szCs w:val="22"/>
        </w:rPr>
        <w:t>Please review each of the professional Sport Management Standards</w:t>
      </w:r>
      <w:r w:rsidR="00C66ED7" w:rsidRPr="00C66ED7">
        <w:rPr>
          <w:sz w:val="22"/>
          <w:szCs w:val="22"/>
        </w:rPr>
        <w:t xml:space="preserve"> below </w:t>
      </w:r>
      <w:r w:rsidR="00EF0987">
        <w:rPr>
          <w:sz w:val="22"/>
          <w:szCs w:val="22"/>
        </w:rPr>
        <w:t xml:space="preserve">with your site supervisor </w:t>
      </w:r>
      <w:r w:rsidR="00C66ED7" w:rsidRPr="00C66ED7">
        <w:rPr>
          <w:sz w:val="22"/>
          <w:szCs w:val="22"/>
        </w:rPr>
        <w:t xml:space="preserve">and indicate the degree to which each standard for Sport Management will be satisfied during the internship experience. A </w:t>
      </w:r>
      <w:r w:rsidR="00C66ED7" w:rsidRPr="00C66ED7">
        <w:rPr>
          <w:sz w:val="22"/>
          <w:szCs w:val="22"/>
          <w:u w:val="single"/>
        </w:rPr>
        <w:t>minimum</w:t>
      </w:r>
      <w:r w:rsidR="00C66ED7" w:rsidRPr="00C66ED7">
        <w:rPr>
          <w:sz w:val="22"/>
          <w:szCs w:val="22"/>
        </w:rPr>
        <w:t xml:space="preserve"> of five (5) standards must indicate</w:t>
      </w:r>
      <w:r w:rsidRPr="00C66ED7">
        <w:rPr>
          <w:sz w:val="22"/>
          <w:szCs w:val="22"/>
        </w:rPr>
        <w:t xml:space="preserve"> </w:t>
      </w:r>
      <w:r w:rsidR="00C66ED7" w:rsidRPr="00C66ED7">
        <w:rPr>
          <w:sz w:val="22"/>
          <w:szCs w:val="22"/>
        </w:rPr>
        <w:t>a level of three (3) or four (4) and a corresponding project must be associated with each of those standards and completed during this experience.</w:t>
      </w:r>
    </w:p>
    <w:tbl>
      <w:tblPr>
        <w:tblW w:w="14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85"/>
        <w:gridCol w:w="4993"/>
        <w:gridCol w:w="5592"/>
      </w:tblGrid>
      <w:tr w:rsidR="00C66ED7" w:rsidRPr="0034400F" w14:paraId="03866872" w14:textId="77777777" w:rsidTr="00C66ED7">
        <w:trPr>
          <w:trHeight w:val="288"/>
        </w:trPr>
        <w:tc>
          <w:tcPr>
            <w:tcW w:w="1260" w:type="dxa"/>
            <w:vAlign w:val="center"/>
          </w:tcPr>
          <w:p w14:paraId="413B108E" w14:textId="77777777" w:rsidR="00C66ED7" w:rsidRPr="0034400F" w:rsidRDefault="00C66ED7" w:rsidP="00C6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2285" w:type="dxa"/>
            <w:vAlign w:val="center"/>
          </w:tcPr>
          <w:p w14:paraId="11F6DED9" w14:textId="77777777" w:rsidR="00C66ED7" w:rsidRPr="0034400F" w:rsidRDefault="00C66ED7" w:rsidP="00C66ED7">
            <w:pPr>
              <w:jc w:val="center"/>
              <w:rPr>
                <w:rFonts w:ascii="Arial" w:hAnsi="Arial" w:cs="Arial"/>
                <w:b/>
              </w:rPr>
            </w:pPr>
            <w:r w:rsidRPr="0034400F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4993" w:type="dxa"/>
            <w:vAlign w:val="center"/>
          </w:tcPr>
          <w:p w14:paraId="46CFD458" w14:textId="77777777" w:rsidR="00C66ED7" w:rsidRPr="0034400F" w:rsidRDefault="00C66ED7" w:rsidP="00C66ED7">
            <w:pPr>
              <w:jc w:val="center"/>
              <w:rPr>
                <w:rFonts w:ascii="Arial" w:hAnsi="Arial" w:cs="Arial"/>
                <w:b/>
              </w:rPr>
            </w:pPr>
            <w:r w:rsidRPr="0034400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5592" w:type="dxa"/>
          </w:tcPr>
          <w:p w14:paraId="2E11FF93" w14:textId="77777777" w:rsidR="00C66ED7" w:rsidRPr="0034400F" w:rsidRDefault="00C66ED7" w:rsidP="00C66E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Project/Assignment</w:t>
            </w:r>
          </w:p>
        </w:tc>
      </w:tr>
      <w:tr w:rsidR="00C66ED7" w:rsidRPr="0034400F" w14:paraId="58C60FF1" w14:textId="77777777" w:rsidTr="00C66ED7">
        <w:tc>
          <w:tcPr>
            <w:tcW w:w="1260" w:type="dxa"/>
            <w:vAlign w:val="center"/>
          </w:tcPr>
          <w:p w14:paraId="5661A02D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3  4</w:t>
            </w:r>
          </w:p>
        </w:tc>
        <w:tc>
          <w:tcPr>
            <w:tcW w:w="2285" w:type="dxa"/>
            <w:vAlign w:val="center"/>
          </w:tcPr>
          <w:p w14:paraId="7A4AB21D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1.  Behavioral dimensions in sport</w:t>
            </w:r>
          </w:p>
        </w:tc>
        <w:tc>
          <w:tcPr>
            <w:tcW w:w="4993" w:type="dxa"/>
          </w:tcPr>
          <w:p w14:paraId="1EA00596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internal/external factors that shape sport in a culture, how sport mirrors society, and why business is involved in sport.</w:t>
            </w:r>
          </w:p>
        </w:tc>
        <w:tc>
          <w:tcPr>
            <w:tcW w:w="5592" w:type="dxa"/>
          </w:tcPr>
          <w:p w14:paraId="7C03197D" w14:textId="77777777" w:rsidR="00C66ED7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F5D3FD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242E2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5CDE38" w14:textId="77777777" w:rsidR="00185D2F" w:rsidRPr="0034400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16FE3140" w14:textId="77777777" w:rsidTr="00C66ED7">
        <w:tc>
          <w:tcPr>
            <w:tcW w:w="1260" w:type="dxa"/>
            <w:vAlign w:val="center"/>
          </w:tcPr>
          <w:p w14:paraId="415E654C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3  4</w:t>
            </w:r>
          </w:p>
        </w:tc>
        <w:tc>
          <w:tcPr>
            <w:tcW w:w="2285" w:type="dxa"/>
            <w:vAlign w:val="center"/>
          </w:tcPr>
          <w:p w14:paraId="5D60D8CB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2.  Management and organizational skills in sport</w:t>
            </w:r>
          </w:p>
        </w:tc>
        <w:tc>
          <w:tcPr>
            <w:tcW w:w="4993" w:type="dxa"/>
          </w:tcPr>
          <w:p w14:paraId="6769C8D3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what constitutes management &amp; an organization, applies functions of planning, organizing, leading, &amp; evaluating the goals of sport organizations, and understands concept of strategic planning &amp; resource allocation.</w:t>
            </w:r>
          </w:p>
        </w:tc>
        <w:tc>
          <w:tcPr>
            <w:tcW w:w="5592" w:type="dxa"/>
          </w:tcPr>
          <w:p w14:paraId="604A21C3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691D9647" w14:textId="77777777" w:rsidTr="00C66ED7">
        <w:tc>
          <w:tcPr>
            <w:tcW w:w="1260" w:type="dxa"/>
            <w:vAlign w:val="center"/>
          </w:tcPr>
          <w:p w14:paraId="30B41DF2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08EDA183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3.  Ethics in sport management</w:t>
            </w:r>
          </w:p>
        </w:tc>
        <w:tc>
          <w:tcPr>
            <w:tcW w:w="4993" w:type="dxa"/>
          </w:tcPr>
          <w:p w14:paraId="1F59D4D7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distinction between concepts or morality and ethics, how personal ethics affect organizational responsibility, and how to establish a code of professional ethics.</w:t>
            </w:r>
          </w:p>
        </w:tc>
        <w:tc>
          <w:tcPr>
            <w:tcW w:w="5592" w:type="dxa"/>
          </w:tcPr>
          <w:p w14:paraId="54470310" w14:textId="77777777" w:rsidR="00C66ED7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D572D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163570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CC63B" w14:textId="77777777" w:rsidR="00185D2F" w:rsidRPr="0034400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75D947B5" w14:textId="77777777" w:rsidTr="00C66ED7">
        <w:tc>
          <w:tcPr>
            <w:tcW w:w="1260" w:type="dxa"/>
            <w:vAlign w:val="center"/>
          </w:tcPr>
          <w:p w14:paraId="2F1B219F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3EE5A5F5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4.  Marketing in sport</w:t>
            </w:r>
          </w:p>
        </w:tc>
        <w:tc>
          <w:tcPr>
            <w:tcW w:w="4993" w:type="dxa"/>
          </w:tcPr>
          <w:p w14:paraId="0B1C6FA4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Applies fundamental marketing concepts to sport industry, understands concepts of marketing and product orientation, and knows the process of the sport marketing planning model.</w:t>
            </w:r>
          </w:p>
        </w:tc>
        <w:tc>
          <w:tcPr>
            <w:tcW w:w="5592" w:type="dxa"/>
          </w:tcPr>
          <w:p w14:paraId="5CF38C91" w14:textId="77777777" w:rsidR="00C66ED7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64740A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4638C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2BC960" w14:textId="77777777" w:rsidR="00185D2F" w:rsidRPr="0034400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4BAFB858" w14:textId="77777777" w:rsidTr="00C66ED7">
        <w:tc>
          <w:tcPr>
            <w:tcW w:w="1260" w:type="dxa"/>
            <w:vAlign w:val="center"/>
          </w:tcPr>
          <w:p w14:paraId="2BA0D0CF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537757F6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5.  Communication in sport</w:t>
            </w:r>
          </w:p>
        </w:tc>
        <w:tc>
          <w:tcPr>
            <w:tcW w:w="4993" w:type="dxa"/>
          </w:tcPr>
          <w:p w14:paraId="24764C24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Knows how interpersonal &amp; mass communication differs, understands theoretical foundations of mass communication &amp; mass media industry, and understands how business decisions are made.</w:t>
            </w:r>
          </w:p>
        </w:tc>
        <w:tc>
          <w:tcPr>
            <w:tcW w:w="5592" w:type="dxa"/>
          </w:tcPr>
          <w:p w14:paraId="6953B766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6C6C2826" w14:textId="77777777" w:rsidTr="00C66ED7">
        <w:tc>
          <w:tcPr>
            <w:tcW w:w="1260" w:type="dxa"/>
            <w:vAlign w:val="center"/>
          </w:tcPr>
          <w:p w14:paraId="2F3FDE36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403C9A14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6.  Finance in sport</w:t>
            </w:r>
          </w:p>
        </w:tc>
        <w:tc>
          <w:tcPr>
            <w:tcW w:w="4993" w:type="dxa"/>
          </w:tcPr>
          <w:p w14:paraId="6FEFD0A6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the steps in developing an organizational budget, how accounting procedures may be used as a tool in finance, and how principles of fund raising are used.</w:t>
            </w:r>
          </w:p>
        </w:tc>
        <w:tc>
          <w:tcPr>
            <w:tcW w:w="5592" w:type="dxa"/>
          </w:tcPr>
          <w:p w14:paraId="5E2452E9" w14:textId="77777777" w:rsidR="00C66ED7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D8FFC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D97A21" w14:textId="77777777" w:rsidR="00185D2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F3E0B" w14:textId="77777777" w:rsidR="00185D2F" w:rsidRPr="0034400F" w:rsidRDefault="00185D2F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660E3745" w14:textId="77777777" w:rsidTr="00C66ED7">
        <w:tc>
          <w:tcPr>
            <w:tcW w:w="1260" w:type="dxa"/>
            <w:vAlign w:val="center"/>
          </w:tcPr>
          <w:p w14:paraId="0C4D3930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099791D3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7.  Economics in sport</w:t>
            </w:r>
          </w:p>
        </w:tc>
        <w:tc>
          <w:tcPr>
            <w:tcW w:w="4993" w:type="dxa"/>
          </w:tcPr>
          <w:p w14:paraId="16C205A6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how an economic system works in balancing producers and consumers, constructs &amp; analyzes a demand curve, a supply curve, &amp; a market equilibrium curve, and develops a budget by generating income strategies &amp; allocating resources.</w:t>
            </w:r>
          </w:p>
        </w:tc>
        <w:tc>
          <w:tcPr>
            <w:tcW w:w="5592" w:type="dxa"/>
          </w:tcPr>
          <w:p w14:paraId="2C5F7B69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71690E6C" w14:textId="77777777" w:rsidTr="00C66ED7">
        <w:tc>
          <w:tcPr>
            <w:tcW w:w="1260" w:type="dxa"/>
            <w:vAlign w:val="center"/>
          </w:tcPr>
          <w:p w14:paraId="4A6B40E3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0FA510BF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8.  Legal aspects of sport</w:t>
            </w:r>
          </w:p>
        </w:tc>
        <w:tc>
          <w:tcPr>
            <w:tcW w:w="4993" w:type="dxa"/>
          </w:tcPr>
          <w:p w14:paraId="4A801F6A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Applies various areas of law to sport, understands court system &amp; how legal issues are decided, understands contract law, tort law, agency law, sex discrimination issues, &amp; antitrust laws, and understands collective bargaining agreements as part of labor law.</w:t>
            </w:r>
          </w:p>
        </w:tc>
        <w:tc>
          <w:tcPr>
            <w:tcW w:w="5592" w:type="dxa"/>
          </w:tcPr>
          <w:p w14:paraId="30420FE8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ED7" w:rsidRPr="0034400F" w14:paraId="5E7CCA7A" w14:textId="77777777" w:rsidTr="00C66ED7">
        <w:tc>
          <w:tcPr>
            <w:tcW w:w="1260" w:type="dxa"/>
            <w:vAlign w:val="center"/>
          </w:tcPr>
          <w:p w14:paraId="665B2896" w14:textId="77777777" w:rsidR="00C66ED7" w:rsidRPr="0034400F" w:rsidRDefault="00C66ED7" w:rsidP="00C66ED7">
            <w:pPr>
              <w:jc w:val="center"/>
              <w:rPr>
                <w:rFonts w:ascii="Arial" w:hAnsi="Arial" w:cs="Arial"/>
              </w:rPr>
            </w:pPr>
            <w:proofErr w:type="gramStart"/>
            <w:r w:rsidRPr="0034400F">
              <w:rPr>
                <w:rFonts w:ascii="Arial" w:hAnsi="Arial" w:cs="Arial"/>
              </w:rPr>
              <w:t>1  2</w:t>
            </w:r>
            <w:proofErr w:type="gramEnd"/>
            <w:r w:rsidRPr="0034400F">
              <w:rPr>
                <w:rFonts w:ascii="Arial" w:hAnsi="Arial" w:cs="Arial"/>
              </w:rPr>
              <w:t xml:space="preserve">  3 4</w:t>
            </w:r>
          </w:p>
        </w:tc>
        <w:tc>
          <w:tcPr>
            <w:tcW w:w="2285" w:type="dxa"/>
            <w:vAlign w:val="center"/>
          </w:tcPr>
          <w:p w14:paraId="5230FD4D" w14:textId="77777777" w:rsidR="00C66ED7" w:rsidRPr="0034400F" w:rsidRDefault="00C66ED7" w:rsidP="00C66ED7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34400F">
              <w:rPr>
                <w:rFonts w:ascii="Arial" w:hAnsi="Arial" w:cs="Arial"/>
                <w:sz w:val="18"/>
                <w:szCs w:val="18"/>
              </w:rPr>
              <w:t>9.  Governance in sport</w:t>
            </w:r>
          </w:p>
        </w:tc>
        <w:tc>
          <w:tcPr>
            <w:tcW w:w="4993" w:type="dxa"/>
          </w:tcPr>
          <w:p w14:paraId="3C7241A6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  <w:r w:rsidRPr="0034400F">
              <w:rPr>
                <w:rFonts w:ascii="Arial" w:hAnsi="Arial" w:cs="Arial"/>
                <w:sz w:val="16"/>
                <w:szCs w:val="16"/>
              </w:rPr>
              <w:t>Understands various agencies that govern sport at professional, collegiate, high school, &amp; amateur levels, governing powers of each agency, and how governmental agencies influence the role of sport governing bodies.</w:t>
            </w:r>
          </w:p>
        </w:tc>
        <w:tc>
          <w:tcPr>
            <w:tcW w:w="5592" w:type="dxa"/>
          </w:tcPr>
          <w:p w14:paraId="064D4C82" w14:textId="77777777" w:rsidR="00C66ED7" w:rsidRPr="0034400F" w:rsidRDefault="00C66ED7" w:rsidP="00C66E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708D73" w14:textId="77777777" w:rsidR="00185D2F" w:rsidRDefault="00C66ED7" w:rsidP="00C66ED7">
      <w:pPr>
        <w:jc w:val="both"/>
        <w:rPr>
          <w:sz w:val="20"/>
          <w:szCs w:val="20"/>
        </w:rPr>
      </w:pPr>
      <w:r w:rsidRPr="00775A6A">
        <w:rPr>
          <w:sz w:val="20"/>
          <w:szCs w:val="20"/>
        </w:rPr>
        <w:t>Continued on next page</w:t>
      </w:r>
    </w:p>
    <w:p w14:paraId="1CEF5A88" w14:textId="77777777" w:rsidR="00185D2F" w:rsidRDefault="00185D2F" w:rsidP="00C66ED7">
      <w:pPr>
        <w:jc w:val="both"/>
        <w:rPr>
          <w:sz w:val="20"/>
          <w:szCs w:val="20"/>
        </w:rPr>
      </w:pPr>
    </w:p>
    <w:p w14:paraId="2570E0A9" w14:textId="77777777" w:rsidR="00185D2F" w:rsidRDefault="00185D2F" w:rsidP="00C66ED7">
      <w:pPr>
        <w:jc w:val="both"/>
        <w:rPr>
          <w:sz w:val="20"/>
          <w:szCs w:val="20"/>
        </w:rPr>
      </w:pPr>
    </w:p>
    <w:p w14:paraId="76677148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Project Internship Days/Hours: </w:t>
      </w:r>
    </w:p>
    <w:p w14:paraId="7971D8B4" w14:textId="77777777" w:rsidR="00775A6A" w:rsidRDefault="00775A6A" w:rsidP="00C66ED7">
      <w:pPr>
        <w:jc w:val="both"/>
        <w:rPr>
          <w:sz w:val="20"/>
          <w:szCs w:val="20"/>
        </w:rPr>
      </w:pPr>
    </w:p>
    <w:p w14:paraId="1F9373D8" w14:textId="77777777" w:rsidR="00775A6A" w:rsidRDefault="00775A6A" w:rsidP="00C66ED7">
      <w:pPr>
        <w:jc w:val="both"/>
        <w:rPr>
          <w:sz w:val="20"/>
          <w:szCs w:val="20"/>
        </w:rPr>
      </w:pPr>
    </w:p>
    <w:p w14:paraId="76CFE215" w14:textId="77777777" w:rsidR="00EF0987" w:rsidRDefault="00EF0987" w:rsidP="00C66ED7">
      <w:pPr>
        <w:jc w:val="both"/>
        <w:rPr>
          <w:sz w:val="20"/>
          <w:szCs w:val="20"/>
        </w:rPr>
      </w:pPr>
    </w:p>
    <w:p w14:paraId="20213DCF" w14:textId="77777777" w:rsidR="00EF0987" w:rsidRDefault="00EF0987" w:rsidP="00C66ED7">
      <w:pPr>
        <w:jc w:val="both"/>
        <w:rPr>
          <w:sz w:val="20"/>
          <w:szCs w:val="20"/>
        </w:rPr>
      </w:pPr>
    </w:p>
    <w:p w14:paraId="364D038B" w14:textId="77777777" w:rsidR="00EF0987" w:rsidRDefault="00EF0987" w:rsidP="00C66ED7">
      <w:pPr>
        <w:jc w:val="both"/>
        <w:rPr>
          <w:sz w:val="20"/>
          <w:szCs w:val="20"/>
        </w:rPr>
      </w:pPr>
    </w:p>
    <w:p w14:paraId="438DC110" w14:textId="77777777" w:rsidR="00EF0987" w:rsidRDefault="00EF0987" w:rsidP="00C66ED7">
      <w:pPr>
        <w:jc w:val="both"/>
        <w:rPr>
          <w:sz w:val="20"/>
          <w:szCs w:val="20"/>
        </w:rPr>
      </w:pPr>
    </w:p>
    <w:p w14:paraId="30346D49" w14:textId="77777777" w:rsidR="00775A6A" w:rsidRDefault="00775A6A" w:rsidP="00C66ED7">
      <w:pPr>
        <w:jc w:val="both"/>
        <w:rPr>
          <w:sz w:val="20"/>
          <w:szCs w:val="20"/>
        </w:rPr>
      </w:pPr>
    </w:p>
    <w:p w14:paraId="665167A1" w14:textId="77777777" w:rsidR="00775A6A" w:rsidRDefault="00775A6A" w:rsidP="00C66ED7">
      <w:pPr>
        <w:jc w:val="both"/>
        <w:rPr>
          <w:sz w:val="20"/>
          <w:szCs w:val="20"/>
        </w:rPr>
      </w:pPr>
    </w:p>
    <w:p w14:paraId="5C016AB9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Approximate Project Schedule (dates/hours needed to complete):</w:t>
      </w:r>
    </w:p>
    <w:p w14:paraId="3D680FE0" w14:textId="77777777" w:rsidR="00775A6A" w:rsidRDefault="00775A6A" w:rsidP="00C66ED7">
      <w:pPr>
        <w:jc w:val="both"/>
        <w:rPr>
          <w:sz w:val="20"/>
          <w:szCs w:val="20"/>
        </w:rPr>
      </w:pPr>
    </w:p>
    <w:p w14:paraId="5C35E7F4" w14:textId="77777777" w:rsidR="00775A6A" w:rsidRDefault="00775A6A" w:rsidP="00C66ED7">
      <w:pPr>
        <w:jc w:val="both"/>
        <w:rPr>
          <w:sz w:val="20"/>
          <w:szCs w:val="20"/>
        </w:rPr>
      </w:pPr>
    </w:p>
    <w:p w14:paraId="1B1064D8" w14:textId="77777777" w:rsidR="00EF0987" w:rsidRDefault="00EF0987" w:rsidP="00C66ED7">
      <w:pPr>
        <w:jc w:val="both"/>
        <w:rPr>
          <w:sz w:val="20"/>
          <w:szCs w:val="20"/>
        </w:rPr>
      </w:pPr>
    </w:p>
    <w:p w14:paraId="5EF966D8" w14:textId="77777777" w:rsidR="00EF0987" w:rsidRDefault="00EF0987" w:rsidP="00C66ED7">
      <w:pPr>
        <w:jc w:val="both"/>
        <w:rPr>
          <w:sz w:val="20"/>
          <w:szCs w:val="20"/>
        </w:rPr>
      </w:pPr>
    </w:p>
    <w:p w14:paraId="20EB4509" w14:textId="77777777" w:rsidR="00EF0987" w:rsidRDefault="00EF0987" w:rsidP="00C66ED7">
      <w:pPr>
        <w:jc w:val="both"/>
        <w:rPr>
          <w:sz w:val="20"/>
          <w:szCs w:val="20"/>
        </w:rPr>
      </w:pPr>
    </w:p>
    <w:p w14:paraId="7CC43891" w14:textId="77777777" w:rsidR="00EF0987" w:rsidRDefault="00EF0987" w:rsidP="00C66ED7">
      <w:pPr>
        <w:jc w:val="both"/>
        <w:rPr>
          <w:sz w:val="20"/>
          <w:szCs w:val="20"/>
        </w:rPr>
      </w:pPr>
    </w:p>
    <w:p w14:paraId="0EBB0BC3" w14:textId="77777777" w:rsidR="00EF0987" w:rsidRDefault="00EF0987" w:rsidP="00C66ED7">
      <w:pPr>
        <w:jc w:val="both"/>
        <w:rPr>
          <w:sz w:val="20"/>
          <w:szCs w:val="20"/>
        </w:rPr>
      </w:pPr>
    </w:p>
    <w:p w14:paraId="38BEFFB2" w14:textId="77777777" w:rsidR="00EF0987" w:rsidRDefault="00EF0987" w:rsidP="00C66ED7">
      <w:pPr>
        <w:jc w:val="both"/>
        <w:rPr>
          <w:sz w:val="20"/>
          <w:szCs w:val="20"/>
        </w:rPr>
      </w:pPr>
    </w:p>
    <w:p w14:paraId="126430ED" w14:textId="77777777" w:rsidR="00775A6A" w:rsidRDefault="00775A6A" w:rsidP="00C66ED7">
      <w:pPr>
        <w:jc w:val="both"/>
        <w:rPr>
          <w:sz w:val="20"/>
          <w:szCs w:val="20"/>
        </w:rPr>
      </w:pPr>
    </w:p>
    <w:p w14:paraId="28B59EBC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Internship Site Name: _____________________________________________________________________________________________________________________________________________________________</w:t>
      </w:r>
    </w:p>
    <w:p w14:paraId="5A975355" w14:textId="77777777" w:rsidR="00775A6A" w:rsidRDefault="00775A6A" w:rsidP="00C66ED7">
      <w:pPr>
        <w:jc w:val="both"/>
        <w:rPr>
          <w:sz w:val="20"/>
          <w:szCs w:val="20"/>
        </w:rPr>
      </w:pPr>
    </w:p>
    <w:p w14:paraId="7A64D731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Internship Site Supervisor Name: ________________________________________ Supervisor Signature: _______________________________________________ Date: _______________________</w:t>
      </w:r>
    </w:p>
    <w:p w14:paraId="09A0618C" w14:textId="77777777" w:rsidR="00775A6A" w:rsidRDefault="00775A6A" w:rsidP="00C66ED7">
      <w:pPr>
        <w:jc w:val="both"/>
        <w:rPr>
          <w:sz w:val="20"/>
          <w:szCs w:val="20"/>
        </w:rPr>
      </w:pPr>
    </w:p>
    <w:p w14:paraId="68CAFD51" w14:textId="77777777" w:rsidR="00775A6A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CSU Advisor Name: _______________________________________________________ Advisor Signature: 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_______________________</w:t>
      </w:r>
    </w:p>
    <w:p w14:paraId="4E64F4E0" w14:textId="77777777" w:rsidR="00775A6A" w:rsidRDefault="00775A6A" w:rsidP="00C66ED7">
      <w:pPr>
        <w:jc w:val="both"/>
        <w:rPr>
          <w:sz w:val="20"/>
          <w:szCs w:val="20"/>
        </w:rPr>
      </w:pPr>
    </w:p>
    <w:p w14:paraId="12131729" w14:textId="2C3FAC10" w:rsidR="00EF0987" w:rsidRDefault="00775A6A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I certify that all information contained in this document is true and was approved by both my site supervisor and advisor. I understand that any false statement contained in this document may result in dismissal from Internship experience</w:t>
      </w:r>
      <w:r w:rsidR="00EF0987">
        <w:rPr>
          <w:sz w:val="20"/>
          <w:szCs w:val="20"/>
        </w:rPr>
        <w:t>.</w:t>
      </w:r>
    </w:p>
    <w:p w14:paraId="016C34F3" w14:textId="77777777" w:rsidR="00EF0987" w:rsidRDefault="00EF0987" w:rsidP="00C66ED7">
      <w:pPr>
        <w:jc w:val="both"/>
        <w:rPr>
          <w:sz w:val="20"/>
          <w:szCs w:val="20"/>
        </w:rPr>
      </w:pPr>
    </w:p>
    <w:p w14:paraId="2F37F278" w14:textId="77777777" w:rsidR="00775A6A" w:rsidRDefault="00EF0987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Intern (student) Name: __________________________________________________ Intern Signature: ______________________________________________________ Date: _______________________</w:t>
      </w:r>
    </w:p>
    <w:p w14:paraId="105DB52C" w14:textId="77777777" w:rsidR="00EF0987" w:rsidRDefault="00EF0987" w:rsidP="00C66ED7">
      <w:pPr>
        <w:jc w:val="both"/>
        <w:rPr>
          <w:sz w:val="20"/>
          <w:szCs w:val="20"/>
        </w:rPr>
      </w:pPr>
    </w:p>
    <w:p w14:paraId="75FC1436" w14:textId="77777777" w:rsidR="00EF0987" w:rsidRDefault="00EF0987" w:rsidP="00C66ED7">
      <w:pPr>
        <w:jc w:val="both"/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62A05F27" w14:textId="77777777" w:rsidR="00EF0987" w:rsidRDefault="00EF0987" w:rsidP="00C66ED7">
      <w:pPr>
        <w:jc w:val="both"/>
        <w:rPr>
          <w:sz w:val="20"/>
          <w:szCs w:val="20"/>
        </w:rPr>
      </w:pPr>
    </w:p>
    <w:p w14:paraId="3D6F433E" w14:textId="77777777" w:rsidR="00EF0987" w:rsidRDefault="00EF0987" w:rsidP="00C66ED7">
      <w:pPr>
        <w:jc w:val="both"/>
        <w:rPr>
          <w:sz w:val="20"/>
          <w:szCs w:val="20"/>
        </w:rPr>
      </w:pPr>
    </w:p>
    <w:p w14:paraId="707386D3" w14:textId="77777777" w:rsidR="00EF0987" w:rsidRDefault="00EF0987" w:rsidP="00C66ED7">
      <w:pPr>
        <w:jc w:val="both"/>
        <w:rPr>
          <w:sz w:val="20"/>
          <w:szCs w:val="20"/>
        </w:rPr>
      </w:pPr>
    </w:p>
    <w:p w14:paraId="1B083CAC" w14:textId="77777777" w:rsidR="00EF0987" w:rsidRDefault="00EF0987" w:rsidP="00C66ED7">
      <w:pPr>
        <w:jc w:val="both"/>
        <w:rPr>
          <w:sz w:val="20"/>
          <w:szCs w:val="20"/>
        </w:rPr>
      </w:pPr>
    </w:p>
    <w:p w14:paraId="260C5B3E" w14:textId="77777777" w:rsidR="00EF0987" w:rsidRDefault="00EF0987" w:rsidP="00C66ED7">
      <w:pPr>
        <w:jc w:val="both"/>
        <w:rPr>
          <w:sz w:val="20"/>
          <w:szCs w:val="20"/>
        </w:rPr>
      </w:pPr>
    </w:p>
    <w:p w14:paraId="43151B50" w14:textId="77777777" w:rsidR="00EF0987" w:rsidRDefault="00EF0987" w:rsidP="00C66ED7">
      <w:pPr>
        <w:jc w:val="both"/>
        <w:rPr>
          <w:sz w:val="20"/>
          <w:szCs w:val="20"/>
        </w:rPr>
      </w:pPr>
    </w:p>
    <w:p w14:paraId="1BC591F9" w14:textId="77777777" w:rsidR="00EF0987" w:rsidRDefault="00EF0987" w:rsidP="00C66ED7">
      <w:pPr>
        <w:jc w:val="both"/>
        <w:rPr>
          <w:sz w:val="20"/>
          <w:szCs w:val="20"/>
        </w:rPr>
      </w:pPr>
    </w:p>
    <w:p w14:paraId="057DC2FF" w14:textId="77777777" w:rsidR="00EF0987" w:rsidRDefault="00EF0987" w:rsidP="00C66ED7">
      <w:pPr>
        <w:jc w:val="both"/>
        <w:rPr>
          <w:sz w:val="20"/>
          <w:szCs w:val="20"/>
        </w:rPr>
      </w:pPr>
    </w:p>
    <w:p w14:paraId="44AE5354" w14:textId="77777777" w:rsidR="00EF0987" w:rsidRDefault="00EF0987" w:rsidP="00C66ED7">
      <w:pPr>
        <w:jc w:val="both"/>
        <w:rPr>
          <w:sz w:val="20"/>
          <w:szCs w:val="20"/>
        </w:rPr>
      </w:pPr>
    </w:p>
    <w:p w14:paraId="6EBF9B2C" w14:textId="77777777" w:rsidR="00EF0987" w:rsidRPr="00EF0987" w:rsidRDefault="00EF0987" w:rsidP="00C66ED7">
      <w:pPr>
        <w:jc w:val="both"/>
        <w:rPr>
          <w:b/>
          <w:i/>
          <w:sz w:val="20"/>
          <w:szCs w:val="20"/>
        </w:rPr>
      </w:pPr>
      <w:r w:rsidRPr="00EF0987">
        <w:rPr>
          <w:b/>
          <w:i/>
          <w:sz w:val="20"/>
          <w:szCs w:val="20"/>
        </w:rPr>
        <w:t>Note* Please ask your advisor to place original copy in your HHP student folder and give you a copy of this document so you may complete internship application process,</w:t>
      </w:r>
    </w:p>
    <w:sectPr w:rsidR="00EF0987" w:rsidRPr="00EF0987" w:rsidSect="0078623F">
      <w:headerReference w:type="default" r:id="rId8"/>
      <w:pgSz w:w="15840" w:h="12240" w:orient="landscape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5847B" w14:textId="77777777" w:rsidR="007E381B" w:rsidRDefault="007E381B" w:rsidP="007E381B">
      <w:r>
        <w:separator/>
      </w:r>
    </w:p>
  </w:endnote>
  <w:endnote w:type="continuationSeparator" w:id="0">
    <w:p w14:paraId="74E2674B" w14:textId="77777777" w:rsidR="007E381B" w:rsidRDefault="007E381B" w:rsidP="007E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91E9" w14:textId="77777777" w:rsidR="007E381B" w:rsidRDefault="007E381B" w:rsidP="007E381B">
      <w:r>
        <w:separator/>
      </w:r>
    </w:p>
  </w:footnote>
  <w:footnote w:type="continuationSeparator" w:id="0">
    <w:p w14:paraId="22B7AF4D" w14:textId="77777777" w:rsidR="007E381B" w:rsidRDefault="007E381B" w:rsidP="007E38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02DD3" w14:textId="3CFFB2A4" w:rsidR="007E381B" w:rsidRPr="007E381B" w:rsidRDefault="007E381B" w:rsidP="007E381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UG Sport Management – Spring,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F"/>
    <w:rsid w:val="00185D2F"/>
    <w:rsid w:val="00775A6A"/>
    <w:rsid w:val="0078623F"/>
    <w:rsid w:val="007E381B"/>
    <w:rsid w:val="00A120A1"/>
    <w:rsid w:val="00A878A7"/>
    <w:rsid w:val="00C14FF2"/>
    <w:rsid w:val="00C66ED7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5C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1B"/>
  </w:style>
  <w:style w:type="paragraph" w:styleId="Footer">
    <w:name w:val="footer"/>
    <w:basedOn w:val="Normal"/>
    <w:link w:val="FooterChar"/>
    <w:uiPriority w:val="99"/>
    <w:unhideWhenUsed/>
    <w:rsid w:val="007E3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81B"/>
  </w:style>
  <w:style w:type="paragraph" w:styleId="Footer">
    <w:name w:val="footer"/>
    <w:basedOn w:val="Normal"/>
    <w:link w:val="FooterChar"/>
    <w:uiPriority w:val="99"/>
    <w:unhideWhenUsed/>
    <w:rsid w:val="007E3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3414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Motley</dc:creator>
  <cp:keywords/>
  <dc:description/>
  <cp:lastModifiedBy>Mary Motley</cp:lastModifiedBy>
  <cp:revision>2</cp:revision>
  <dcterms:created xsi:type="dcterms:W3CDTF">2018-12-04T22:53:00Z</dcterms:created>
  <dcterms:modified xsi:type="dcterms:W3CDTF">2018-12-04T22:53:00Z</dcterms:modified>
</cp:coreProperties>
</file>